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484848"/>
          <w:spacing w:val="0"/>
          <w:sz w:val="21"/>
          <w:szCs w:val="21"/>
        </w:rPr>
      </w:pPr>
      <w:r>
        <w:rPr>
          <w:rFonts w:ascii="方正小标宋_GBK" w:hAnsi="方正小标宋_GBK" w:eastAsia="方正小标宋_GBK" w:cs="方正小标宋_GBK"/>
          <w:i w:val="0"/>
          <w:iCs w:val="0"/>
          <w:caps w:val="0"/>
          <w:color w:val="484848"/>
          <w:spacing w:val="0"/>
          <w:kern w:val="0"/>
          <w:sz w:val="44"/>
          <w:szCs w:val="44"/>
          <w:shd w:val="clear" w:fill="FFFFFF"/>
          <w:lang w:val="en-US" w:eastAsia="zh-CN" w:bidi="ar"/>
        </w:rPr>
        <w:t>关于选聘</w:t>
      </w:r>
      <w:r>
        <w:rPr>
          <w:rFonts w:hint="eastAsia" w:ascii="方正小标宋_GBK" w:hAnsi="方正小标宋_GBK" w:eastAsia="方正小标宋_GBK" w:cs="方正小标宋_GBK"/>
          <w:i w:val="0"/>
          <w:iCs w:val="0"/>
          <w:caps w:val="0"/>
          <w:color w:val="484848"/>
          <w:spacing w:val="0"/>
          <w:kern w:val="0"/>
          <w:sz w:val="44"/>
          <w:szCs w:val="44"/>
          <w:shd w:val="clear" w:fill="FFFFFF"/>
          <w:lang w:val="en-US" w:eastAsia="zh-CN" w:bidi="ar"/>
        </w:rPr>
        <w:t>校外辅导员的通知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84848"/>
          <w:spacing w:val="0"/>
          <w:sz w:val="21"/>
          <w:szCs w:val="21"/>
        </w:rPr>
      </w:pPr>
      <w:r>
        <w:rPr>
          <w:rFonts w:ascii="仿宋_GB2312" w:hAnsi="宋体" w:eastAsia="仿宋_GB2312" w:cs="仿宋_GB2312"/>
          <w:i w:val="0"/>
          <w:iCs w:val="0"/>
          <w:caps w:val="0"/>
          <w:color w:val="000000"/>
          <w:spacing w:val="0"/>
          <w:kern w:val="0"/>
          <w:sz w:val="32"/>
          <w:szCs w:val="32"/>
          <w:shd w:val="clear" w:fill="FFFFFF"/>
          <w:lang w:val="en-US" w:eastAsia="zh-CN" w:bidi="ar"/>
        </w:rPr>
        <w:t>各二级学院：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为贯彻落实中共中央国务院《关于新时代加强和改进思想政治工作的意见》文件要求，立足立德树人根本任务构建“三全育人”大思政格局，凝聚校内外育人合力，助力大学生成长成才。经研究，决定开展聘请校外辅导员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ascii="黑体" w:hAnsi="宋体" w:eastAsia="黑体" w:cs="黑体"/>
          <w:i w:val="0"/>
          <w:iCs w:val="0"/>
          <w:caps w:val="0"/>
          <w:color w:val="000000"/>
          <w:spacing w:val="0"/>
          <w:kern w:val="0"/>
          <w:sz w:val="32"/>
          <w:szCs w:val="32"/>
          <w:shd w:val="clear" w:fill="FFFFFF"/>
          <w:lang w:val="en-US" w:eastAsia="zh-CN" w:bidi="ar"/>
        </w:rPr>
        <w:t>一、选聘条件</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1.理想信念坚定，坚持习近平新时代中国特色社会主义思想，思想政治素质好。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2.道德情操高尚，个人作风优良，职业道德水平高，事业心和责任感强。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3.工作资历深厚，业务能力出众，综合素质全面，组织管理和教育引导能力强。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4.身心健康，具备一定的开展兼职辅导工作的时间和条件。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5.尊重大学生、理解大学生，热心大学生工作，关爱大学生成长，愿意为思政教育和人才培养贡献力量。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6.优先考虑选聘校外党政机关、科研院所、部队、企事业单位的党员领导干部、专家学者等。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二、工作形式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校外辅导员可通过指导学生实习实训、带领学生社会实践、参加党团日活动、组织企业开放日等活动，把“校内课堂”与“校外课堂”结合起来；通过举办形势报告、座谈交流、技术讲座等活动，把“社会课堂”与“思政课堂”结合起来；通过直播、微博、微信、微视频等方式，将“线上课堂”与“线下课堂”结合起来，实现走近学生、了解学生、引领学生的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2、各二级学院要对本学院联络的校外辅导员工作开展情况进行定期考核，原则上，校外辅导员每年至少参与2次学生活动；无法按期参与学生活动的校外辅导员，应予以解聘。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三、工作内容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校外辅导员工作内容可以包括：分享学习工作经验及思想感悟，帮助学生开拓视野，树立正确的人生观和价值观；介绍国家重大战略部署与行业发展趋势，引导学生了解行业前沿动态；进行职业生涯规划和创新创业指导，帮助学生确定学业发展目标；了解青年大学生所面临的现实困惑，解答学生关于成人成才成长的相关疑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jc w:val="both"/>
        <w:rPr>
          <w:rFonts w:hint="eastAsia" w:ascii="宋体" w:hAnsi="宋体" w:eastAsia="宋体" w:cs="宋体"/>
          <w:i w:val="0"/>
          <w:iCs w:val="0"/>
          <w:caps w:val="0"/>
          <w:color w:val="484848"/>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1.校外辅导员由各二级学院负责选聘，各二级学院要对拟聘任人选的思想政治素质进行严格把关。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2.各二级学院要充分重视校友资源在学生思政、资助、就业和发展中的重要作用，认真挖掘并主动邀请优秀典型校友代表担任校外辅导员。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3.各二级学院要建立校外辅导员与二级学院的对接联络机制，并负责相关活动的策划、组织、协调、总结、宣传等，确保活动受益面和实效性。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4.各二级学院将校外辅导员信息表（见附件）填写完毕后交至学生工作处办公室，学生工作处审核后发放聘书，聘期一般为一年。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5.各二级学院要积极宣传、报道校外辅导员工作。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84848"/>
          <w:spacing w:val="0"/>
          <w:sz w:val="21"/>
          <w:szCs w:val="21"/>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附件：江西环境工程职业学院校外辅导员信息表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仿宋_GB2312" w:hAnsi="宋体"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学生工作处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2023年5月12日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60" w:afterAutospacing="0" w:line="560" w:lineRule="atLeast"/>
        <w:ind w:left="0" w:right="0" w:firstLine="0"/>
        <w:jc w:val="right"/>
        <w:rPr>
          <w:rFonts w:hint="eastAsia" w:ascii="仿宋_GB2312" w:hAnsi="宋体" w:eastAsia="仿宋_GB2312" w:cs="仿宋_GB2312"/>
          <w:i w:val="0"/>
          <w:iCs w:val="0"/>
          <w:caps w:val="0"/>
          <w:color w:val="000000"/>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60" w:afterAutospacing="0" w:line="560" w:lineRule="atLeast"/>
        <w:ind w:left="0" w:right="0" w:firstLine="0"/>
        <w:jc w:val="right"/>
        <w:rPr>
          <w:rFonts w:hint="eastAsia" w:ascii="仿宋_GB2312" w:hAnsi="宋体" w:eastAsia="仿宋_GB2312" w:cs="仿宋_GB2312"/>
          <w:i w:val="0"/>
          <w:iCs w:val="0"/>
          <w:caps w:val="0"/>
          <w:color w:val="000000"/>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60" w:afterAutospacing="0" w:line="560" w:lineRule="atLeast"/>
        <w:ind w:left="0" w:right="0" w:firstLine="0"/>
        <w:jc w:val="right"/>
        <w:rPr>
          <w:rFonts w:hint="eastAsia" w:ascii="仿宋_GB2312" w:hAnsi="宋体" w:eastAsia="仿宋_GB2312" w:cs="仿宋_GB2312"/>
          <w:i w:val="0"/>
          <w:iCs w:val="0"/>
          <w:caps w:val="0"/>
          <w:color w:val="000000"/>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60" w:afterAutospacing="0" w:line="560" w:lineRule="atLeast"/>
        <w:ind w:left="0" w:right="0" w:firstLine="0"/>
        <w:jc w:val="right"/>
        <w:rPr>
          <w:rFonts w:hint="eastAsia" w:ascii="仿宋_GB2312" w:hAnsi="宋体" w:eastAsia="仿宋_GB2312" w:cs="仿宋_GB2312"/>
          <w:i w:val="0"/>
          <w:iCs w:val="0"/>
          <w:caps w:val="0"/>
          <w:color w:val="000000"/>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60" w:afterAutospacing="0" w:line="560" w:lineRule="atLeast"/>
        <w:ind w:left="0" w:right="0" w:firstLine="0"/>
        <w:jc w:val="right"/>
        <w:rPr>
          <w:rFonts w:hint="eastAsia" w:ascii="仿宋_GB2312" w:hAnsi="宋体" w:eastAsia="仿宋_GB2312" w:cs="仿宋_GB2312"/>
          <w:i w:val="0"/>
          <w:iCs w:val="0"/>
          <w:caps w:val="0"/>
          <w:color w:val="000000"/>
          <w:spacing w:val="0"/>
          <w:kern w:val="0"/>
          <w:sz w:val="30"/>
          <w:szCs w:val="30"/>
          <w:shd w:val="clear" w:fill="FFFFFF"/>
          <w:lang w:val="en-US" w:eastAsia="zh-CN" w:bidi="ar"/>
        </w:rPr>
      </w:pPr>
    </w:p>
    <w:p>
      <w:pPr>
        <w:spacing w:line="600" w:lineRule="exact"/>
        <w:rPr>
          <w:rFonts w:hint="eastAsia" w:ascii="黑体" w:hAnsi="黑体" w:eastAsia="黑体"/>
          <w:w w:val="90"/>
          <w:sz w:val="28"/>
          <w:szCs w:val="28"/>
        </w:rPr>
      </w:pPr>
    </w:p>
    <w:p>
      <w:pPr>
        <w:spacing w:line="600" w:lineRule="exact"/>
        <w:rPr>
          <w:rFonts w:hint="eastAsia" w:ascii="黑体" w:hAnsi="黑体" w:eastAsia="黑体"/>
          <w:w w:val="90"/>
          <w:sz w:val="28"/>
          <w:szCs w:val="28"/>
        </w:rPr>
      </w:pPr>
      <w:r>
        <w:rPr>
          <w:rFonts w:hint="eastAsia" w:ascii="黑体" w:hAnsi="黑体" w:eastAsia="黑体"/>
          <w:w w:val="90"/>
          <w:sz w:val="28"/>
          <w:szCs w:val="28"/>
        </w:rPr>
        <w:t>附件：</w:t>
      </w:r>
    </w:p>
    <w:p>
      <w:pPr>
        <w:spacing w:line="600" w:lineRule="exact"/>
        <w:jc w:val="center"/>
        <w:rPr>
          <w:rFonts w:ascii="方正小标宋简体" w:hAnsi="仿宋" w:eastAsia="方正小标宋简体"/>
          <w:b/>
          <w:w w:val="100"/>
          <w:sz w:val="36"/>
          <w:szCs w:val="36"/>
        </w:rPr>
      </w:pPr>
      <w:r>
        <w:rPr>
          <w:rFonts w:hint="eastAsia" w:ascii="方正小标宋简体" w:hAnsi="仿宋" w:eastAsia="方正小标宋简体"/>
          <w:b/>
          <w:w w:val="100"/>
          <w:sz w:val="36"/>
          <w:szCs w:val="36"/>
          <w:lang w:val="en-US" w:eastAsia="zh-CN"/>
        </w:rPr>
        <w:t>江西环境工程职业学院</w:t>
      </w:r>
      <w:r>
        <w:rPr>
          <w:rFonts w:hint="eastAsia" w:ascii="方正小标宋简体" w:hAnsi="仿宋" w:eastAsia="方正小标宋简体"/>
          <w:b/>
          <w:w w:val="100"/>
          <w:sz w:val="36"/>
          <w:szCs w:val="36"/>
        </w:rPr>
        <w:t>校外辅导员信息表</w:t>
      </w:r>
    </w:p>
    <w:tbl>
      <w:tblPr>
        <w:tblStyle w:val="3"/>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39"/>
        <w:gridCol w:w="1677"/>
        <w:gridCol w:w="1300"/>
        <w:gridCol w:w="1184"/>
        <w:gridCol w:w="141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64" w:leftChars="78" w:right="178" w:rightChars="85"/>
              <w:jc w:val="distribute"/>
              <w:rPr>
                <w:rFonts w:ascii="仿宋" w:hAnsi="仿宋" w:eastAsia="仿宋"/>
                <w:b/>
                <w:bCs/>
                <w:w w:val="100"/>
                <w:sz w:val="24"/>
              </w:rPr>
            </w:pPr>
            <w:r>
              <w:rPr>
                <w:rFonts w:hint="eastAsia" w:ascii="仿宋" w:hAnsi="仿宋" w:eastAsia="仿宋"/>
                <w:b/>
                <w:bCs/>
                <w:w w:val="100"/>
                <w:sz w:val="24"/>
              </w:rPr>
              <w:t>姓    名</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ind w:left="164" w:leftChars="78" w:right="178" w:rightChars="85"/>
              <w:jc w:val="distribute"/>
              <w:rPr>
                <w:rFonts w:ascii="仿宋" w:hAnsi="仿宋" w:eastAsia="仿宋"/>
                <w:b/>
                <w:bCs/>
                <w:w w:val="100"/>
                <w:sz w:val="24"/>
              </w:rPr>
            </w:pPr>
            <w:r>
              <w:rPr>
                <w:rFonts w:hint="eastAsia" w:ascii="仿宋" w:hAnsi="仿宋" w:eastAsia="仿宋"/>
                <w:b/>
                <w:bCs/>
                <w:w w:val="100"/>
                <w:sz w:val="24"/>
              </w:rPr>
              <w:t>性别</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r>
              <w:rPr>
                <w:rFonts w:hint="eastAsia" w:ascii="仿宋" w:hAnsi="仿宋" w:eastAsia="仿宋"/>
                <w:b/>
                <w:bCs/>
                <w:w w:val="100"/>
                <w:sz w:val="24"/>
              </w:rPr>
              <w:t>最高学位</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64" w:leftChars="78" w:right="178" w:rightChars="85"/>
              <w:jc w:val="distribute"/>
              <w:rPr>
                <w:rFonts w:ascii="仿宋" w:hAnsi="仿宋" w:eastAsia="仿宋"/>
                <w:b/>
                <w:bCs/>
                <w:w w:val="100"/>
                <w:sz w:val="24"/>
              </w:rPr>
            </w:pPr>
            <w:r>
              <w:rPr>
                <w:rFonts w:hint="eastAsia" w:ascii="仿宋" w:hAnsi="仿宋" w:eastAsia="仿宋"/>
                <w:b/>
                <w:bCs/>
                <w:w w:val="100"/>
                <w:sz w:val="24"/>
              </w:rPr>
              <w:t>出生日期</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ind w:left="164" w:leftChars="78" w:right="178" w:rightChars="85"/>
              <w:jc w:val="distribute"/>
              <w:rPr>
                <w:rFonts w:ascii="仿宋" w:hAnsi="仿宋" w:eastAsia="仿宋"/>
                <w:b/>
                <w:bCs/>
                <w:w w:val="100"/>
                <w:sz w:val="24"/>
              </w:rPr>
            </w:pPr>
            <w:r>
              <w:rPr>
                <w:rFonts w:hint="eastAsia" w:ascii="仿宋" w:hAnsi="仿宋" w:eastAsia="仿宋"/>
                <w:b/>
                <w:bCs/>
                <w:w w:val="100"/>
                <w:sz w:val="24"/>
              </w:rPr>
              <w:t>民族</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r>
              <w:rPr>
                <w:rFonts w:hint="eastAsia" w:ascii="仿宋" w:hAnsi="仿宋" w:eastAsia="仿宋"/>
                <w:b/>
                <w:bCs/>
                <w:w w:val="100"/>
                <w:sz w:val="24"/>
              </w:rPr>
              <w:t>最高学历</w:t>
            </w:r>
          </w:p>
        </w:tc>
        <w:tc>
          <w:tcPr>
            <w:tcW w:w="1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bCs/>
                <w:w w:val="100"/>
                <w:sz w:val="24"/>
              </w:rPr>
            </w:pPr>
            <w:r>
              <w:rPr>
                <w:rFonts w:hint="eastAsia" w:ascii="仿宋" w:hAnsi="仿宋" w:eastAsia="仿宋"/>
                <w:b/>
                <w:bCs/>
                <w:w w:val="100"/>
                <w:sz w:val="24"/>
              </w:rPr>
              <w:t>政治面貌</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b/>
                <w:bCs/>
                <w:w w:val="1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bCs/>
                <w:w w:val="100"/>
                <w:sz w:val="24"/>
              </w:rPr>
            </w:pPr>
            <w:r>
              <w:rPr>
                <w:rFonts w:hint="eastAsia" w:ascii="仿宋" w:hAnsi="仿宋" w:eastAsia="仿宋"/>
                <w:b/>
                <w:bCs/>
                <w:spacing w:val="-8"/>
                <w:w w:val="100"/>
                <w:sz w:val="24"/>
              </w:rPr>
              <w:t>职务/职称</w:t>
            </w:r>
          </w:p>
        </w:tc>
        <w:tc>
          <w:tcPr>
            <w:tcW w:w="416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64" w:leftChars="78" w:right="178" w:rightChars="85"/>
              <w:jc w:val="distribute"/>
              <w:rPr>
                <w:rFonts w:ascii="仿宋" w:hAnsi="仿宋" w:eastAsia="仿宋"/>
                <w:b/>
                <w:bCs/>
                <w:w w:val="100"/>
                <w:sz w:val="24"/>
              </w:rPr>
            </w:pPr>
            <w:r>
              <w:rPr>
                <w:rFonts w:hint="eastAsia" w:ascii="仿宋" w:hAnsi="仿宋" w:eastAsia="仿宋"/>
                <w:b/>
                <w:bCs/>
                <w:w w:val="100"/>
                <w:sz w:val="24"/>
              </w:rPr>
              <w:t>所在单位</w:t>
            </w:r>
          </w:p>
        </w:tc>
        <w:tc>
          <w:tcPr>
            <w:tcW w:w="714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64" w:leftChars="78" w:right="178" w:rightChars="85"/>
              <w:jc w:val="distribute"/>
              <w:rPr>
                <w:rFonts w:hint="default" w:ascii="仿宋" w:hAnsi="仿宋" w:eastAsia="仿宋"/>
                <w:b/>
                <w:bCs/>
                <w:spacing w:val="-8"/>
                <w:w w:val="100"/>
                <w:sz w:val="24"/>
                <w:lang w:val="en-US"/>
              </w:rPr>
            </w:pPr>
            <w:r>
              <w:rPr>
                <w:rFonts w:hint="eastAsia" w:ascii="仿宋" w:hAnsi="仿宋" w:eastAsia="仿宋"/>
                <w:b/>
                <w:bCs/>
                <w:w w:val="100"/>
                <w:sz w:val="24"/>
                <w:lang w:val="en-US" w:eastAsia="zh-CN"/>
              </w:rPr>
              <w:t>是否校友</w:t>
            </w:r>
          </w:p>
        </w:tc>
        <w:tc>
          <w:tcPr>
            <w:tcW w:w="714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 w:hAnsi="仿宋" w:eastAsia="仿宋"/>
                <w:bCs/>
                <w:w w:val="100"/>
                <w:sz w:val="24"/>
                <w:lang w:val="en-US" w:eastAsia="zh-CN"/>
              </w:rPr>
            </w:pPr>
            <w:r>
              <w:rPr>
                <w:rFonts w:hint="eastAsia" w:ascii="仿宋" w:hAnsi="仿宋" w:eastAsia="仿宋"/>
                <w:w w:val="100"/>
                <w:sz w:val="24"/>
              </w:rPr>
              <w:t>□是</w:t>
            </w:r>
            <w:r>
              <w:rPr>
                <w:rFonts w:hint="eastAsia" w:ascii="仿宋" w:hAnsi="仿宋" w:eastAsia="仿宋"/>
                <w:w w:val="100"/>
                <w:sz w:val="24"/>
                <w:lang w:eastAsia="zh-CN"/>
              </w:rPr>
              <w:t>（</w:t>
            </w:r>
            <w:r>
              <w:rPr>
                <w:rFonts w:hint="eastAsia" w:ascii="仿宋" w:hAnsi="仿宋" w:eastAsia="仿宋"/>
                <w:w w:val="100"/>
                <w:sz w:val="24"/>
                <w:lang w:val="en-US" w:eastAsia="zh-CN"/>
              </w:rPr>
              <w:t>毕业年份</w:t>
            </w:r>
            <w:r>
              <w:rPr>
                <w:rFonts w:hint="eastAsia" w:ascii="仿宋" w:hAnsi="仿宋" w:eastAsia="仿宋"/>
                <w:w w:val="100"/>
                <w:sz w:val="24"/>
                <w:u w:val="single"/>
                <w:lang w:val="en-US" w:eastAsia="zh-CN"/>
              </w:rPr>
              <w:t xml:space="preserve">       </w:t>
            </w:r>
            <w:r>
              <w:rPr>
                <w:rFonts w:hint="eastAsia" w:ascii="仿宋" w:hAnsi="仿宋" w:eastAsia="仿宋"/>
                <w:w w:val="100"/>
                <w:sz w:val="24"/>
                <w:lang w:val="en-US" w:eastAsia="zh-CN"/>
              </w:rPr>
              <w:t xml:space="preserve"> 毕业专业</w:t>
            </w:r>
            <w:r>
              <w:rPr>
                <w:rFonts w:hint="eastAsia" w:ascii="仿宋" w:hAnsi="仿宋" w:eastAsia="仿宋"/>
                <w:w w:val="100"/>
                <w:sz w:val="24"/>
                <w:u w:val="single"/>
                <w:lang w:val="en-US" w:eastAsia="zh-CN"/>
              </w:rPr>
              <w:t xml:space="preserve">              </w:t>
            </w:r>
            <w:r>
              <w:rPr>
                <w:rFonts w:hint="eastAsia" w:ascii="仿宋" w:hAnsi="仿宋" w:eastAsia="仿宋"/>
                <w:w w:val="100"/>
                <w:sz w:val="24"/>
                <w:u w:val="none"/>
                <w:lang w:val="en-US" w:eastAsia="zh-CN"/>
              </w:rPr>
              <w:t xml:space="preserve"> </w:t>
            </w:r>
            <w:r>
              <w:rPr>
                <w:rFonts w:hint="eastAsia" w:ascii="仿宋" w:hAnsi="仿宋" w:eastAsia="仿宋"/>
                <w:w w:val="100"/>
                <w:sz w:val="24"/>
                <w:lang w:val="en-US" w:eastAsia="zh-CN"/>
              </w:rPr>
              <w:t>）</w:t>
            </w:r>
            <w:r>
              <w:rPr>
                <w:rFonts w:hint="eastAsia" w:ascii="仿宋" w:hAnsi="仿宋" w:eastAsia="仿宋"/>
                <w:w w:val="10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5" w:hRule="atLeast"/>
          <w:jc w:val="center"/>
        </w:trPr>
        <w:tc>
          <w:tcPr>
            <w:tcW w:w="835" w:type="dxa"/>
            <w:tcBorders>
              <w:bottom w:val="single" w:color="auto" w:sz="4" w:space="0"/>
            </w:tcBorders>
            <w:vAlign w:val="center"/>
          </w:tcPr>
          <w:p>
            <w:pPr>
              <w:spacing w:line="500" w:lineRule="exact"/>
              <w:jc w:val="center"/>
              <w:rPr>
                <w:rFonts w:hint="eastAsia" w:ascii="仿宋" w:hAnsi="仿宋" w:eastAsia="仿宋"/>
                <w:b/>
                <w:bCs/>
                <w:w w:val="100"/>
                <w:sz w:val="24"/>
                <w:lang w:eastAsia="zh-CN"/>
              </w:rPr>
            </w:pPr>
            <w:r>
              <w:rPr>
                <w:rFonts w:hint="eastAsia" w:ascii="仿宋" w:hAnsi="仿宋" w:eastAsia="仿宋"/>
                <w:b/>
                <w:bCs/>
                <w:w w:val="100"/>
                <w:sz w:val="24"/>
              </w:rPr>
              <w:t>主要工作经历及</w:t>
            </w:r>
            <w:r>
              <w:rPr>
                <w:rFonts w:hint="eastAsia" w:ascii="仿宋" w:hAnsi="仿宋" w:eastAsia="仿宋"/>
                <w:b/>
                <w:bCs/>
                <w:w w:val="100"/>
                <w:sz w:val="24"/>
                <w:lang w:val="en-US" w:eastAsia="zh-CN"/>
              </w:rPr>
              <w:t>业绩</w:t>
            </w:r>
          </w:p>
        </w:tc>
        <w:tc>
          <w:tcPr>
            <w:tcW w:w="7883" w:type="dxa"/>
            <w:gridSpan w:val="6"/>
            <w:tcBorders>
              <w:bottom w:val="single" w:color="auto" w:sz="4" w:space="0"/>
            </w:tcBorders>
            <w:vAlign w:val="top"/>
          </w:tcPr>
          <w:p>
            <w:pPr>
              <w:spacing w:line="400" w:lineRule="exact"/>
              <w:rPr>
                <w:rFonts w:ascii="仿宋" w:hAnsi="仿宋" w:eastAsia="仿宋"/>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7" w:hRule="atLeast"/>
          <w:jc w:val="center"/>
        </w:trPr>
        <w:tc>
          <w:tcPr>
            <w:tcW w:w="835" w:type="dxa"/>
            <w:vAlign w:val="center"/>
          </w:tcPr>
          <w:p>
            <w:pPr>
              <w:spacing w:line="500" w:lineRule="exact"/>
              <w:jc w:val="center"/>
              <w:rPr>
                <w:rFonts w:ascii="仿宋" w:hAnsi="仿宋" w:eastAsia="仿宋"/>
                <w:b/>
                <w:bCs/>
                <w:w w:val="100"/>
                <w:sz w:val="24"/>
              </w:rPr>
            </w:pPr>
            <w:r>
              <w:rPr>
                <w:rFonts w:hint="eastAsia" w:ascii="仿宋" w:hAnsi="仿宋" w:eastAsia="仿宋"/>
                <w:b/>
                <w:bCs/>
                <w:w w:val="100"/>
                <w:sz w:val="24"/>
                <w:lang w:val="en-US" w:eastAsia="zh-CN"/>
              </w:rPr>
              <w:t>选聘学院</w:t>
            </w:r>
            <w:r>
              <w:rPr>
                <w:rFonts w:hint="eastAsia" w:ascii="仿宋" w:hAnsi="仿宋" w:eastAsia="仿宋"/>
                <w:b/>
                <w:bCs/>
                <w:w w:val="100"/>
                <w:sz w:val="24"/>
              </w:rPr>
              <w:t>意见</w:t>
            </w:r>
          </w:p>
        </w:tc>
        <w:tc>
          <w:tcPr>
            <w:tcW w:w="7883" w:type="dxa"/>
            <w:gridSpan w:val="6"/>
            <w:vAlign w:val="top"/>
          </w:tcPr>
          <w:p>
            <w:pPr>
              <w:wordWrap w:val="0"/>
              <w:spacing w:line="360" w:lineRule="exact"/>
              <w:ind w:right="-105"/>
              <w:rPr>
                <w:rFonts w:hint="default" w:ascii="仿宋" w:hAnsi="仿宋" w:eastAsia="仿宋"/>
                <w:w w:val="100"/>
                <w:sz w:val="24"/>
                <w:lang w:val="en-US" w:eastAsia="zh-CN"/>
              </w:rPr>
            </w:pPr>
          </w:p>
          <w:p>
            <w:pPr>
              <w:wordWrap w:val="0"/>
              <w:spacing w:line="360" w:lineRule="exact"/>
              <w:ind w:right="-105"/>
              <w:rPr>
                <w:rFonts w:hint="eastAsia" w:ascii="仿宋" w:hAnsi="仿宋" w:eastAsia="仿宋"/>
                <w:w w:val="100"/>
                <w:sz w:val="24"/>
              </w:rPr>
            </w:pPr>
          </w:p>
          <w:p>
            <w:pPr>
              <w:wordWrap w:val="0"/>
              <w:spacing w:line="360" w:lineRule="exact"/>
              <w:ind w:left="-105" w:right="-105"/>
              <w:jc w:val="right"/>
              <w:rPr>
                <w:rFonts w:hint="eastAsia" w:ascii="仿宋" w:hAnsi="仿宋" w:eastAsia="仿宋"/>
                <w:w w:val="100"/>
                <w:sz w:val="24"/>
              </w:rPr>
            </w:pPr>
          </w:p>
          <w:p>
            <w:pPr>
              <w:wordWrap w:val="0"/>
              <w:spacing w:line="360" w:lineRule="exact"/>
              <w:ind w:left="-105" w:right="-105"/>
              <w:jc w:val="right"/>
              <w:rPr>
                <w:rFonts w:ascii="仿宋" w:hAnsi="仿宋" w:eastAsia="仿宋"/>
                <w:w w:val="100"/>
                <w:sz w:val="24"/>
              </w:rPr>
            </w:pPr>
            <w:r>
              <w:rPr>
                <w:rFonts w:hint="eastAsia" w:ascii="仿宋" w:hAnsi="仿宋" w:eastAsia="仿宋"/>
                <w:w w:val="100"/>
                <w:sz w:val="24"/>
              </w:rPr>
              <w:t xml:space="preserve">  </w:t>
            </w:r>
            <w:r>
              <w:rPr>
                <w:rFonts w:ascii="仿宋" w:hAnsi="仿宋" w:eastAsia="仿宋"/>
                <w:w w:val="100"/>
                <w:sz w:val="24"/>
              </w:rPr>
              <w:t xml:space="preserve">       </w:t>
            </w:r>
            <w:r>
              <w:rPr>
                <w:rFonts w:hint="eastAsia" w:ascii="仿宋" w:hAnsi="仿宋" w:eastAsia="仿宋"/>
                <w:w w:val="100"/>
                <w:sz w:val="24"/>
              </w:rPr>
              <w:t xml:space="preserve">       </w:t>
            </w:r>
            <w:r>
              <w:rPr>
                <w:rFonts w:ascii="仿宋" w:hAnsi="仿宋" w:eastAsia="仿宋"/>
                <w:w w:val="100"/>
                <w:sz w:val="24"/>
              </w:rPr>
              <w:t xml:space="preserve"> </w:t>
            </w:r>
            <w:r>
              <w:rPr>
                <w:rFonts w:hint="eastAsia" w:ascii="仿宋" w:hAnsi="仿宋" w:eastAsia="仿宋"/>
                <w:w w:val="100"/>
                <w:sz w:val="24"/>
              </w:rPr>
              <w:t xml:space="preserve">负责人：      </w:t>
            </w:r>
            <w:r>
              <w:rPr>
                <w:rFonts w:ascii="仿宋" w:hAnsi="仿宋" w:eastAsia="仿宋"/>
                <w:w w:val="100"/>
                <w:sz w:val="24"/>
              </w:rPr>
              <w:t xml:space="preserve">       </w:t>
            </w:r>
            <w:r>
              <w:rPr>
                <w:rFonts w:hint="eastAsia" w:ascii="仿宋" w:hAnsi="仿宋" w:eastAsia="仿宋"/>
                <w:w w:val="100"/>
                <w:sz w:val="24"/>
              </w:rPr>
              <w:t xml:space="preserve">  </w:t>
            </w:r>
          </w:p>
          <w:p>
            <w:pPr>
              <w:wordWrap w:val="0"/>
              <w:spacing w:line="360" w:lineRule="exact"/>
              <w:ind w:firstLine="720" w:firstLineChars="300"/>
              <w:jc w:val="right"/>
              <w:rPr>
                <w:rFonts w:ascii="仿宋" w:hAnsi="仿宋" w:eastAsia="仿宋"/>
                <w:w w:val="100"/>
                <w:sz w:val="24"/>
              </w:rPr>
            </w:pPr>
            <w:r>
              <w:rPr>
                <w:rFonts w:hint="eastAsia" w:ascii="仿宋" w:hAnsi="仿宋" w:eastAsia="仿宋"/>
                <w:w w:val="100"/>
                <w:sz w:val="24"/>
              </w:rPr>
              <w:t xml:space="preserve">（公章） </w:t>
            </w:r>
            <w:r>
              <w:rPr>
                <w:rFonts w:ascii="仿宋" w:hAnsi="仿宋" w:eastAsia="仿宋"/>
                <w:w w:val="100"/>
                <w:sz w:val="24"/>
              </w:rPr>
              <w:t xml:space="preserve">          </w:t>
            </w:r>
          </w:p>
          <w:p>
            <w:pPr>
              <w:spacing w:line="360" w:lineRule="exact"/>
              <w:ind w:firstLine="720" w:firstLineChars="300"/>
              <w:jc w:val="right"/>
              <w:rPr>
                <w:rFonts w:ascii="仿宋" w:hAnsi="仿宋" w:eastAsia="仿宋"/>
                <w:w w:val="100"/>
                <w:sz w:val="24"/>
              </w:rPr>
            </w:pPr>
            <w:r>
              <w:rPr>
                <w:rFonts w:hint="eastAsia" w:ascii="仿宋" w:hAnsi="仿宋" w:eastAsia="仿宋"/>
                <w:w w:val="1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8" w:hRule="atLeast"/>
          <w:jc w:val="center"/>
        </w:trPr>
        <w:tc>
          <w:tcPr>
            <w:tcW w:w="835" w:type="dxa"/>
            <w:vAlign w:val="center"/>
          </w:tcPr>
          <w:p>
            <w:pPr>
              <w:spacing w:line="280" w:lineRule="exact"/>
              <w:jc w:val="center"/>
              <w:rPr>
                <w:rFonts w:ascii="仿宋" w:hAnsi="仿宋" w:eastAsia="仿宋"/>
                <w:b/>
                <w:bCs/>
                <w:w w:val="100"/>
                <w:sz w:val="24"/>
              </w:rPr>
            </w:pPr>
            <w:r>
              <w:rPr>
                <w:rFonts w:hint="eastAsia" w:ascii="仿宋" w:hAnsi="仿宋" w:eastAsia="仿宋"/>
                <w:b/>
                <w:bCs/>
                <w:w w:val="100"/>
                <w:sz w:val="24"/>
              </w:rPr>
              <w:t>学生</w:t>
            </w:r>
            <w:r>
              <w:rPr>
                <w:rFonts w:hint="eastAsia" w:ascii="仿宋" w:hAnsi="仿宋" w:eastAsia="仿宋"/>
                <w:b/>
                <w:bCs/>
                <w:w w:val="100"/>
                <w:sz w:val="24"/>
                <w:lang w:val="en-US" w:eastAsia="zh-CN"/>
              </w:rPr>
              <w:t>处</w:t>
            </w:r>
            <w:r>
              <w:rPr>
                <w:rFonts w:hint="eastAsia" w:ascii="仿宋" w:hAnsi="仿宋" w:eastAsia="仿宋"/>
                <w:b/>
                <w:bCs/>
                <w:w w:val="100"/>
                <w:sz w:val="24"/>
              </w:rPr>
              <w:t>意见</w:t>
            </w:r>
          </w:p>
        </w:tc>
        <w:tc>
          <w:tcPr>
            <w:tcW w:w="7883" w:type="dxa"/>
            <w:gridSpan w:val="6"/>
            <w:vAlign w:val="top"/>
          </w:tcPr>
          <w:p>
            <w:pPr>
              <w:wordWrap w:val="0"/>
              <w:spacing w:line="360" w:lineRule="exact"/>
              <w:ind w:right="-105"/>
              <w:rPr>
                <w:rFonts w:ascii="仿宋" w:hAnsi="仿宋" w:eastAsia="仿宋"/>
                <w:w w:val="100"/>
                <w:sz w:val="24"/>
              </w:rPr>
            </w:pPr>
            <w:r>
              <w:rPr>
                <w:rFonts w:hint="eastAsia" w:ascii="仿宋" w:hAnsi="仿宋" w:eastAsia="仿宋"/>
                <w:w w:val="100"/>
                <w:sz w:val="24"/>
              </w:rPr>
              <w:t>是否同意聘任</w:t>
            </w:r>
            <w:r>
              <w:rPr>
                <w:rFonts w:ascii="仿宋" w:hAnsi="仿宋" w:eastAsia="仿宋"/>
                <w:w w:val="100"/>
                <w:sz w:val="24"/>
              </w:rPr>
              <w:t>：</w:t>
            </w:r>
            <w:r>
              <w:rPr>
                <w:rFonts w:hint="eastAsia" w:ascii="仿宋" w:hAnsi="仿宋" w:eastAsia="仿宋"/>
                <w:w w:val="100"/>
                <w:sz w:val="24"/>
              </w:rPr>
              <w:t>□是    □否</w:t>
            </w:r>
          </w:p>
          <w:p>
            <w:pPr>
              <w:wordWrap w:val="0"/>
              <w:spacing w:line="360" w:lineRule="exact"/>
              <w:ind w:left="-105" w:right="-105"/>
              <w:jc w:val="right"/>
              <w:rPr>
                <w:rFonts w:ascii="仿宋" w:hAnsi="仿宋" w:eastAsia="仿宋"/>
                <w:w w:val="100"/>
                <w:sz w:val="24"/>
              </w:rPr>
            </w:pPr>
            <w:r>
              <w:rPr>
                <w:rFonts w:hint="eastAsia" w:ascii="仿宋" w:hAnsi="仿宋" w:eastAsia="仿宋"/>
                <w:w w:val="100"/>
                <w:sz w:val="24"/>
              </w:rPr>
              <w:t xml:space="preserve">  </w:t>
            </w:r>
            <w:r>
              <w:rPr>
                <w:rFonts w:ascii="仿宋" w:hAnsi="仿宋" w:eastAsia="仿宋"/>
                <w:w w:val="100"/>
                <w:sz w:val="24"/>
              </w:rPr>
              <w:t xml:space="preserve">       </w:t>
            </w:r>
            <w:r>
              <w:rPr>
                <w:rFonts w:hint="eastAsia" w:ascii="仿宋" w:hAnsi="仿宋" w:eastAsia="仿宋"/>
                <w:w w:val="100"/>
                <w:sz w:val="24"/>
              </w:rPr>
              <w:t xml:space="preserve">       </w:t>
            </w:r>
            <w:r>
              <w:rPr>
                <w:rFonts w:ascii="仿宋" w:hAnsi="仿宋" w:eastAsia="仿宋"/>
                <w:w w:val="100"/>
                <w:sz w:val="24"/>
              </w:rPr>
              <w:t xml:space="preserve">  </w:t>
            </w:r>
            <w:r>
              <w:rPr>
                <w:rFonts w:hint="eastAsia" w:ascii="仿宋" w:hAnsi="仿宋" w:eastAsia="仿宋"/>
                <w:w w:val="100"/>
                <w:sz w:val="24"/>
              </w:rPr>
              <w:t xml:space="preserve">负责人：      </w:t>
            </w:r>
            <w:r>
              <w:rPr>
                <w:rFonts w:ascii="仿宋" w:hAnsi="仿宋" w:eastAsia="仿宋"/>
                <w:w w:val="100"/>
                <w:sz w:val="24"/>
              </w:rPr>
              <w:t xml:space="preserve">       </w:t>
            </w:r>
            <w:r>
              <w:rPr>
                <w:rFonts w:hint="eastAsia" w:ascii="仿宋" w:hAnsi="仿宋" w:eastAsia="仿宋"/>
                <w:w w:val="100"/>
                <w:sz w:val="24"/>
              </w:rPr>
              <w:t xml:space="preserve">  </w:t>
            </w:r>
          </w:p>
          <w:p>
            <w:pPr>
              <w:wordWrap w:val="0"/>
              <w:spacing w:line="360" w:lineRule="exact"/>
              <w:ind w:firstLine="5280" w:firstLineChars="2200"/>
              <w:jc w:val="both"/>
              <w:rPr>
                <w:rFonts w:ascii="仿宋" w:hAnsi="仿宋" w:eastAsia="仿宋"/>
                <w:w w:val="100"/>
                <w:sz w:val="24"/>
              </w:rPr>
            </w:pPr>
            <w:r>
              <w:rPr>
                <w:rFonts w:hint="eastAsia" w:ascii="仿宋" w:hAnsi="仿宋" w:eastAsia="仿宋"/>
                <w:w w:val="100"/>
                <w:sz w:val="24"/>
              </w:rPr>
              <w:t xml:space="preserve">（公章） </w:t>
            </w:r>
            <w:r>
              <w:rPr>
                <w:rFonts w:ascii="仿宋" w:hAnsi="仿宋" w:eastAsia="仿宋"/>
                <w:w w:val="100"/>
                <w:sz w:val="24"/>
              </w:rPr>
              <w:t xml:space="preserve">        </w:t>
            </w:r>
          </w:p>
          <w:p>
            <w:pPr>
              <w:spacing w:line="360" w:lineRule="exact"/>
              <w:jc w:val="right"/>
              <w:rPr>
                <w:rFonts w:ascii="仿宋" w:hAnsi="仿宋" w:eastAsia="仿宋"/>
                <w:w w:val="100"/>
                <w:sz w:val="24"/>
              </w:rPr>
            </w:pPr>
            <w:r>
              <w:rPr>
                <w:rFonts w:hint="eastAsia" w:ascii="仿宋" w:hAnsi="仿宋" w:eastAsia="仿宋"/>
                <w:w w:val="100"/>
                <w:sz w:val="24"/>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60" w:afterAutospacing="0" w:line="560" w:lineRule="atLeast"/>
        <w:ind w:left="0" w:right="0" w:firstLine="0"/>
        <w:jc w:val="right"/>
        <w:rPr>
          <w:rFonts w:hint="eastAsia" w:ascii="仿宋_GB2312" w:hAnsi="宋体" w:eastAsia="仿宋_GB2312" w:cs="仿宋_GB2312"/>
          <w:i w:val="0"/>
          <w:iCs w:val="0"/>
          <w:caps w:val="0"/>
          <w:color w:val="000000"/>
          <w:spacing w:val="0"/>
          <w:kern w:val="0"/>
          <w:sz w:val="30"/>
          <w:szCs w:val="30"/>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jIwYzhlZGJlNTdhMmEyNWIwN2Q3MWRmZTViOWEifQ=="/>
  </w:docVars>
  <w:rsids>
    <w:rsidRoot w:val="00000000"/>
    <w:rsid w:val="063E31D0"/>
    <w:rsid w:val="1AD850F0"/>
    <w:rsid w:val="2CBF0707"/>
    <w:rsid w:val="350D5D1C"/>
    <w:rsid w:val="4321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2023-12-20T07:49:00Z</dcterms:created>
  <dc:creator>SQ</dc:creator>
  <cp:lastModifiedBy>Administrator</cp:lastModifiedBy>
  <dcterms:modified xsi:type="dcterms:W3CDTF">2023-12-26T08:24:42Z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B46AC87476A04552A7A93BD8DA498DA0_12</vt:lpwstr>
  </property>
</Properties>
</file>